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86" w:rsidRDefault="00AD5D86" w:rsidP="00424E7D">
      <w:pPr>
        <w:jc w:val="center"/>
        <w:rPr>
          <w:b/>
          <w:caps/>
          <w:w w:val="120"/>
        </w:rPr>
      </w:pPr>
    </w:p>
    <w:p w:rsidR="00AD5D86" w:rsidRDefault="00AD5D86" w:rsidP="00424E7D">
      <w:pPr>
        <w:jc w:val="center"/>
        <w:rPr>
          <w:b/>
          <w:caps/>
          <w:w w:val="120"/>
        </w:rPr>
      </w:pPr>
    </w:p>
    <w:p w:rsidR="003562F2" w:rsidRPr="002B3F97" w:rsidRDefault="00424E7D" w:rsidP="00424E7D">
      <w:pPr>
        <w:jc w:val="center"/>
        <w:rPr>
          <w:b/>
          <w:caps/>
          <w:w w:val="120"/>
        </w:rPr>
      </w:pPr>
      <w:r w:rsidRPr="002B3F97">
        <w:rPr>
          <w:b/>
          <w:caps/>
          <w:w w:val="120"/>
        </w:rPr>
        <w:t>Πίνακας Αντιστοιχίας</w:t>
      </w:r>
      <w:r w:rsidR="003562F2">
        <w:rPr>
          <w:rStyle w:val="aa"/>
          <w:b/>
          <w:caps/>
          <w:w w:val="120"/>
        </w:rPr>
        <w:endnoteReference w:id="1"/>
      </w:r>
    </w:p>
    <w:p w:rsidR="003562F2" w:rsidRDefault="003562F2" w:rsidP="00424E7D">
      <w:pPr>
        <w:jc w:val="center"/>
        <w:rPr>
          <w:b/>
          <w:u w:val="single"/>
        </w:rPr>
      </w:pPr>
    </w:p>
    <w:p w:rsidR="003562F2" w:rsidRDefault="003562F2" w:rsidP="00424E7D">
      <w:pPr>
        <w:jc w:val="center"/>
        <w:rPr>
          <w:b/>
          <w:u w:val="single"/>
        </w:rPr>
      </w:pPr>
    </w:p>
    <w:tbl>
      <w:tblPr>
        <w:tblStyle w:val="a3"/>
        <w:tblW w:w="14176" w:type="dxa"/>
        <w:tblInd w:w="-289" w:type="dxa"/>
        <w:tblLook w:val="04A0" w:firstRow="1" w:lastRow="0" w:firstColumn="1" w:lastColumn="0" w:noHBand="0" w:noVBand="1"/>
      </w:tblPr>
      <w:tblGrid>
        <w:gridCol w:w="2269"/>
        <w:gridCol w:w="11907"/>
      </w:tblGrid>
      <w:tr w:rsidR="003562F2" w:rsidTr="003562F2">
        <w:tc>
          <w:tcPr>
            <w:tcW w:w="2269" w:type="dxa"/>
            <w:vAlign w:val="center"/>
          </w:tcPr>
          <w:p w:rsidR="003562F2" w:rsidRPr="00E85A81" w:rsidRDefault="003562F2" w:rsidP="006F7B78">
            <w:pPr>
              <w:rPr>
                <w:b/>
                <w:lang w:val="el-GR"/>
              </w:rPr>
            </w:pPr>
            <w:r w:rsidRPr="00E85A81">
              <w:rPr>
                <w:b/>
                <w:lang w:val="el-GR"/>
              </w:rPr>
              <w:t>Οδηγία</w:t>
            </w:r>
          </w:p>
        </w:tc>
        <w:tc>
          <w:tcPr>
            <w:tcW w:w="11907" w:type="dxa"/>
            <w:vAlign w:val="center"/>
          </w:tcPr>
          <w:p w:rsidR="003562F2" w:rsidRDefault="003562F2" w:rsidP="00424E7D">
            <w:pPr>
              <w:jc w:val="center"/>
              <w:rPr>
                <w:b/>
                <w:u w:val="single"/>
              </w:rPr>
            </w:pPr>
          </w:p>
          <w:p w:rsidR="003562F2" w:rsidRDefault="003562F2" w:rsidP="00424E7D">
            <w:pPr>
              <w:jc w:val="center"/>
              <w:rPr>
                <w:b/>
                <w:u w:val="single"/>
              </w:rPr>
            </w:pPr>
          </w:p>
        </w:tc>
      </w:tr>
      <w:tr w:rsidR="003562F2" w:rsidTr="003562F2">
        <w:trPr>
          <w:trHeight w:val="584"/>
        </w:trPr>
        <w:tc>
          <w:tcPr>
            <w:tcW w:w="2269" w:type="dxa"/>
            <w:vAlign w:val="center"/>
          </w:tcPr>
          <w:p w:rsidR="003562F2" w:rsidRPr="00E85A81" w:rsidRDefault="003562F2" w:rsidP="006F7B78">
            <w:pPr>
              <w:rPr>
                <w:b/>
              </w:rPr>
            </w:pPr>
            <w:r w:rsidRPr="00E85A81">
              <w:rPr>
                <w:b/>
                <w:lang w:val="el-GR"/>
              </w:rPr>
              <w:t>Εθνικό Μέσο Μεταφοράς</w:t>
            </w:r>
          </w:p>
        </w:tc>
        <w:tc>
          <w:tcPr>
            <w:tcW w:w="11907" w:type="dxa"/>
            <w:vAlign w:val="center"/>
          </w:tcPr>
          <w:p w:rsidR="003562F2" w:rsidRPr="00533BF7" w:rsidRDefault="003562F2" w:rsidP="00424E7D">
            <w:pPr>
              <w:jc w:val="center"/>
              <w:rPr>
                <w:b/>
              </w:rPr>
            </w:pPr>
            <w:r w:rsidRPr="00533BF7">
              <w:rPr>
                <w:b/>
              </w:rPr>
              <w:t xml:space="preserve">                                                                                                  </w:t>
            </w:r>
          </w:p>
          <w:p w:rsidR="003562F2" w:rsidRPr="00533BF7" w:rsidRDefault="003562F2" w:rsidP="002F079A">
            <w:pPr>
              <w:tabs>
                <w:tab w:val="left" w:pos="1812"/>
              </w:tabs>
              <w:rPr>
                <w:b/>
              </w:rPr>
            </w:pPr>
            <w:r w:rsidRPr="00533BF7">
              <w:rPr>
                <w:b/>
              </w:rPr>
              <w:tab/>
            </w:r>
          </w:p>
        </w:tc>
      </w:tr>
      <w:tr w:rsidR="003562F2" w:rsidTr="003562F2">
        <w:tc>
          <w:tcPr>
            <w:tcW w:w="2269" w:type="dxa"/>
            <w:vAlign w:val="center"/>
          </w:tcPr>
          <w:p w:rsidR="003562F2" w:rsidRPr="00E85A81" w:rsidRDefault="003562F2" w:rsidP="002B3F97">
            <w:pPr>
              <w:rPr>
                <w:b/>
                <w:lang w:val="el-GR"/>
              </w:rPr>
            </w:pPr>
            <w:r w:rsidRPr="00E85A81">
              <w:rPr>
                <w:b/>
                <w:lang w:val="el-GR"/>
              </w:rPr>
              <w:t>Καταληκτική προθεσμία μεταφοράς</w:t>
            </w:r>
            <w:r w:rsidRPr="00E85A81">
              <w:rPr>
                <w:rStyle w:val="aa"/>
                <w:b/>
                <w:lang w:val="el-GR"/>
              </w:rPr>
              <w:endnoteReference w:id="2"/>
            </w:r>
          </w:p>
        </w:tc>
        <w:tc>
          <w:tcPr>
            <w:tcW w:w="11907" w:type="dxa"/>
            <w:vAlign w:val="center"/>
          </w:tcPr>
          <w:p w:rsidR="003562F2" w:rsidRDefault="003562F2" w:rsidP="00424E7D">
            <w:pPr>
              <w:jc w:val="center"/>
              <w:rPr>
                <w:b/>
                <w:u w:val="single"/>
              </w:rPr>
            </w:pPr>
          </w:p>
          <w:p w:rsidR="003562F2" w:rsidRDefault="003562F2" w:rsidP="00424E7D">
            <w:pPr>
              <w:jc w:val="center"/>
              <w:rPr>
                <w:b/>
                <w:u w:val="single"/>
              </w:rPr>
            </w:pPr>
          </w:p>
        </w:tc>
      </w:tr>
      <w:tr w:rsidR="003562F2" w:rsidTr="003562F2">
        <w:tc>
          <w:tcPr>
            <w:tcW w:w="2269" w:type="dxa"/>
            <w:vAlign w:val="center"/>
          </w:tcPr>
          <w:p w:rsidR="003562F2" w:rsidRPr="00E85A81" w:rsidRDefault="003562F2" w:rsidP="00F1769F">
            <w:pPr>
              <w:jc w:val="both"/>
              <w:rPr>
                <w:b/>
                <w:lang w:val="el-GR"/>
              </w:rPr>
            </w:pPr>
            <w:r w:rsidRPr="00E85A81">
              <w:rPr>
                <w:b/>
                <w:lang w:val="el-GR"/>
              </w:rPr>
              <w:t>Αρμόδιο υπουργείο</w:t>
            </w:r>
          </w:p>
        </w:tc>
        <w:tc>
          <w:tcPr>
            <w:tcW w:w="11907" w:type="dxa"/>
            <w:vAlign w:val="center"/>
          </w:tcPr>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tc>
      </w:tr>
      <w:tr w:rsidR="003562F2" w:rsidTr="003562F2">
        <w:tc>
          <w:tcPr>
            <w:tcW w:w="2269" w:type="dxa"/>
            <w:vAlign w:val="center"/>
          </w:tcPr>
          <w:p w:rsidR="003562F2" w:rsidRPr="00E85A81" w:rsidRDefault="003562F2" w:rsidP="002F079A">
            <w:pPr>
              <w:jc w:val="both"/>
              <w:rPr>
                <w:b/>
                <w:lang w:val="el-GR"/>
              </w:rPr>
            </w:pPr>
            <w:r>
              <w:rPr>
                <w:b/>
                <w:lang w:val="el-GR"/>
              </w:rPr>
              <w:t>Συναρμόδιο/α υπουργείο/α</w:t>
            </w:r>
            <w:r w:rsidRPr="00E85A81">
              <w:rPr>
                <w:rStyle w:val="aa"/>
                <w:b/>
                <w:lang w:val="el-GR"/>
              </w:rPr>
              <w:endnoteReference w:id="3"/>
            </w:r>
          </w:p>
        </w:tc>
        <w:tc>
          <w:tcPr>
            <w:tcW w:w="11907" w:type="dxa"/>
            <w:vAlign w:val="center"/>
          </w:tcPr>
          <w:p w:rsidR="003562F2" w:rsidRDefault="003562F2" w:rsidP="00F1769F">
            <w:pPr>
              <w:jc w:val="center"/>
              <w:rPr>
                <w:b/>
                <w:u w:val="single"/>
              </w:rPr>
            </w:pPr>
          </w:p>
          <w:p w:rsidR="003562F2" w:rsidRDefault="003562F2" w:rsidP="00F1769F">
            <w:pPr>
              <w:jc w:val="center"/>
              <w:rPr>
                <w:b/>
                <w:u w:val="single"/>
              </w:rPr>
            </w:pPr>
          </w:p>
          <w:p w:rsidR="003562F2" w:rsidRDefault="003562F2" w:rsidP="002F079A">
            <w:pPr>
              <w:rPr>
                <w:b/>
                <w:u w:val="single"/>
              </w:rPr>
            </w:pPr>
          </w:p>
          <w:p w:rsidR="003562F2" w:rsidRDefault="003562F2" w:rsidP="002F079A">
            <w:pPr>
              <w:rPr>
                <w:b/>
                <w:u w:val="single"/>
              </w:rPr>
            </w:pPr>
          </w:p>
          <w:p w:rsidR="003562F2" w:rsidRDefault="003562F2" w:rsidP="002F079A">
            <w:pPr>
              <w:rPr>
                <w:b/>
                <w:u w:val="single"/>
              </w:rPr>
            </w:pPr>
          </w:p>
          <w:p w:rsidR="003562F2" w:rsidRDefault="003562F2" w:rsidP="002F079A">
            <w:pPr>
              <w:rPr>
                <w:b/>
                <w:u w:val="single"/>
              </w:rPr>
            </w:pPr>
          </w:p>
        </w:tc>
      </w:tr>
      <w:tr w:rsidR="003562F2" w:rsidTr="003562F2">
        <w:tc>
          <w:tcPr>
            <w:tcW w:w="2269" w:type="dxa"/>
            <w:vAlign w:val="center"/>
          </w:tcPr>
          <w:p w:rsidR="003562F2" w:rsidRPr="00E85A81" w:rsidRDefault="003562F2" w:rsidP="00F1769F">
            <w:pPr>
              <w:rPr>
                <w:b/>
                <w:lang w:val="el-GR"/>
              </w:rPr>
            </w:pPr>
            <w:r w:rsidRPr="00E85A81">
              <w:rPr>
                <w:b/>
                <w:lang w:val="el-GR"/>
              </w:rPr>
              <w:lastRenderedPageBreak/>
              <w:t xml:space="preserve">Πλήρης ενσωμάτωση </w:t>
            </w:r>
            <w:r>
              <w:rPr>
                <w:rStyle w:val="aa"/>
                <w:b/>
                <w:lang w:val="el-GR"/>
              </w:rPr>
              <w:endnoteReference w:id="4"/>
            </w:r>
            <w:r w:rsidRPr="00E85A81">
              <w:rPr>
                <w:rStyle w:val="aa"/>
                <w:b/>
                <w:lang w:val="el-GR"/>
              </w:rPr>
              <w:endnoteReference w:id="5"/>
            </w:r>
          </w:p>
        </w:tc>
        <w:tc>
          <w:tcPr>
            <w:tcW w:w="11907" w:type="dxa"/>
          </w:tcPr>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tc>
      </w:tr>
      <w:tr w:rsidR="003562F2" w:rsidTr="003562F2">
        <w:tc>
          <w:tcPr>
            <w:tcW w:w="2269" w:type="dxa"/>
            <w:vAlign w:val="center"/>
          </w:tcPr>
          <w:p w:rsidR="003562F2" w:rsidRPr="00F1769F" w:rsidRDefault="003562F2" w:rsidP="00F1769F">
            <w:pPr>
              <w:rPr>
                <w:b/>
                <w:lang w:val="el-GR"/>
              </w:rPr>
            </w:pPr>
            <w:r>
              <w:rPr>
                <w:b/>
                <w:lang w:val="el-GR"/>
              </w:rPr>
              <w:t>Μερική ενσωμάτωση</w:t>
            </w:r>
          </w:p>
        </w:tc>
        <w:tc>
          <w:tcPr>
            <w:tcW w:w="11907" w:type="dxa"/>
          </w:tcPr>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p w:rsidR="003562F2" w:rsidRDefault="003562F2" w:rsidP="00F1769F">
            <w:pPr>
              <w:jc w:val="center"/>
              <w:rPr>
                <w:b/>
                <w:u w:val="single"/>
              </w:rPr>
            </w:pPr>
          </w:p>
        </w:tc>
      </w:tr>
      <w:tr w:rsidR="003562F2" w:rsidTr="003562F2">
        <w:tc>
          <w:tcPr>
            <w:tcW w:w="14176" w:type="dxa"/>
            <w:gridSpan w:val="2"/>
            <w:tcBorders>
              <w:bottom w:val="single" w:sz="4" w:space="0" w:color="auto"/>
            </w:tcBorders>
            <w:shd w:val="clear" w:color="auto" w:fill="9CC2E5" w:themeFill="accent1" w:themeFillTint="99"/>
            <w:vAlign w:val="center"/>
          </w:tcPr>
          <w:p w:rsidR="003562F2" w:rsidRPr="00F1769F" w:rsidRDefault="003562F2" w:rsidP="00F1769F">
            <w:pPr>
              <w:jc w:val="center"/>
              <w:rPr>
                <w:b/>
                <w:lang w:val="el-GR"/>
              </w:rPr>
            </w:pPr>
            <w:r>
              <w:rPr>
                <w:b/>
                <w:lang w:val="el-GR"/>
              </w:rPr>
              <w:t>Αντιστοίχιση διατάξεων</w:t>
            </w:r>
          </w:p>
        </w:tc>
      </w:tr>
      <w:tr w:rsidR="003562F2" w:rsidTr="003562F2">
        <w:tc>
          <w:tcPr>
            <w:tcW w:w="2269" w:type="dxa"/>
            <w:shd w:val="clear" w:color="auto" w:fill="BDD6EE" w:themeFill="accent1" w:themeFillTint="66"/>
            <w:vAlign w:val="center"/>
          </w:tcPr>
          <w:p w:rsidR="003562F2" w:rsidRPr="00F1769F" w:rsidRDefault="003562F2" w:rsidP="002F45D6">
            <w:pPr>
              <w:rPr>
                <w:b/>
                <w:lang w:val="el-GR"/>
              </w:rPr>
            </w:pPr>
            <w:r>
              <w:rPr>
                <w:b/>
                <w:lang w:val="el-GR"/>
              </w:rPr>
              <w:t xml:space="preserve">Οδηγία </w:t>
            </w:r>
            <w:r>
              <w:rPr>
                <w:rStyle w:val="aa"/>
                <w:b/>
                <w:lang w:val="el-GR"/>
              </w:rPr>
              <w:endnoteReference w:id="6"/>
            </w:r>
            <w:r>
              <w:rPr>
                <w:b/>
                <w:lang w:val="el-GR"/>
              </w:rPr>
              <w:t xml:space="preserve"> </w:t>
            </w:r>
            <w:r>
              <w:rPr>
                <w:rStyle w:val="aa"/>
                <w:b/>
                <w:lang w:val="el-GR"/>
              </w:rPr>
              <w:endnoteReference w:id="7"/>
            </w:r>
            <w:r>
              <w:rPr>
                <w:b/>
                <w:lang w:val="el-GR"/>
              </w:rPr>
              <w:t xml:space="preserve"> </w:t>
            </w:r>
            <w:r>
              <w:rPr>
                <w:rStyle w:val="aa"/>
                <w:b/>
                <w:lang w:val="el-GR"/>
              </w:rPr>
              <w:endnoteReference w:id="8"/>
            </w:r>
          </w:p>
        </w:tc>
        <w:tc>
          <w:tcPr>
            <w:tcW w:w="11907" w:type="dxa"/>
            <w:shd w:val="clear" w:color="auto" w:fill="BDD6EE" w:themeFill="accent1" w:themeFillTint="66"/>
          </w:tcPr>
          <w:p w:rsidR="003562F2" w:rsidRPr="00F1769F" w:rsidRDefault="003562F2" w:rsidP="00F1769F">
            <w:pPr>
              <w:jc w:val="center"/>
              <w:rPr>
                <w:b/>
                <w:lang w:val="el-GR"/>
              </w:rPr>
            </w:pPr>
            <w:r>
              <w:rPr>
                <w:b/>
                <w:lang w:val="el-GR"/>
              </w:rPr>
              <w:t>Εθνικό Μέσο Μεταφοράς</w:t>
            </w:r>
            <w:r>
              <w:rPr>
                <w:rStyle w:val="aa"/>
                <w:b/>
                <w:lang w:val="el-GR"/>
              </w:rPr>
              <w:endnoteReference w:id="9"/>
            </w:r>
            <w:r w:rsidRPr="006F7B78">
              <w:rPr>
                <w:b/>
                <w:vertAlign w:val="superscript"/>
                <w:lang w:val="el-GR"/>
              </w:rPr>
              <w:t>,</w:t>
            </w:r>
            <w:r>
              <w:rPr>
                <w:b/>
                <w:vertAlign w:val="superscript"/>
                <w:lang w:val="el-GR"/>
              </w:rPr>
              <w:t xml:space="preserve"> </w:t>
            </w:r>
            <w:r>
              <w:rPr>
                <w:rStyle w:val="aa"/>
                <w:b/>
                <w:lang w:val="el-GR"/>
              </w:rPr>
              <w:endnoteReference w:id="10"/>
            </w:r>
            <w:r w:rsidRPr="006F7B78">
              <w:rPr>
                <w:b/>
                <w:vertAlign w:val="superscript"/>
                <w:lang w:val="el-GR"/>
              </w:rPr>
              <w:t>,</w:t>
            </w:r>
            <w:r>
              <w:rPr>
                <w:b/>
                <w:vertAlign w:val="superscript"/>
                <w:lang w:val="el-GR"/>
              </w:rPr>
              <w:t xml:space="preserve"> </w:t>
            </w:r>
            <w:r>
              <w:rPr>
                <w:rStyle w:val="aa"/>
                <w:b/>
                <w:lang w:val="el-GR"/>
              </w:rPr>
              <w:endnoteReference w:id="11"/>
            </w:r>
          </w:p>
        </w:tc>
      </w:tr>
      <w:tr w:rsidR="003562F2" w:rsidTr="003562F2">
        <w:tc>
          <w:tcPr>
            <w:tcW w:w="2269" w:type="dxa"/>
            <w:vAlign w:val="center"/>
          </w:tcPr>
          <w:p w:rsidR="003562F2" w:rsidRPr="00E85A81" w:rsidRDefault="003562F2" w:rsidP="00AD5D86">
            <w:pPr>
              <w:rPr>
                <w:b/>
                <w:lang w:val="el-GR"/>
              </w:rPr>
            </w:pPr>
            <w:r>
              <w:rPr>
                <w:b/>
                <w:lang w:val="el-GR"/>
              </w:rPr>
              <w:t xml:space="preserve">Άρθρο 1 </w:t>
            </w:r>
            <w:proofErr w:type="spellStart"/>
            <w:r>
              <w:rPr>
                <w:b/>
                <w:lang w:val="el-GR"/>
              </w:rPr>
              <w:t>επ</w:t>
            </w:r>
            <w:proofErr w:type="spellEnd"/>
            <w:r>
              <w:rPr>
                <w:b/>
                <w:lang w:val="el-GR"/>
              </w:rPr>
              <w:t>.</w:t>
            </w:r>
            <w:r w:rsidRPr="00E85A81">
              <w:rPr>
                <w:rStyle w:val="aa"/>
                <w:b/>
                <w:lang w:val="el-GR"/>
              </w:rPr>
              <w:endnoteReference w:id="12"/>
            </w:r>
          </w:p>
        </w:tc>
        <w:tc>
          <w:tcPr>
            <w:tcW w:w="11907" w:type="dxa"/>
          </w:tcPr>
          <w:p w:rsidR="003562F2" w:rsidRDefault="003562F2" w:rsidP="00AD5D86">
            <w:pPr>
              <w:jc w:val="center"/>
              <w:rPr>
                <w:b/>
                <w:u w:val="single"/>
              </w:rPr>
            </w:pPr>
          </w:p>
        </w:tc>
      </w:tr>
      <w:tr w:rsidR="003562F2" w:rsidTr="003562F2">
        <w:tc>
          <w:tcPr>
            <w:tcW w:w="2269" w:type="dxa"/>
            <w:vAlign w:val="center"/>
          </w:tcPr>
          <w:p w:rsidR="003562F2" w:rsidRPr="002F45D6" w:rsidRDefault="003562F2" w:rsidP="002F45D6">
            <w:pPr>
              <w:rPr>
                <w:lang w:val="el-GR"/>
              </w:rPr>
            </w:pPr>
            <w:r>
              <w:rPr>
                <w:lang w:val="el-GR"/>
              </w:rPr>
              <w:t>Άρθρο 2</w:t>
            </w:r>
          </w:p>
        </w:tc>
        <w:tc>
          <w:tcPr>
            <w:tcW w:w="11907" w:type="dxa"/>
          </w:tcPr>
          <w:p w:rsidR="003562F2" w:rsidRDefault="003562F2" w:rsidP="00AD5D86">
            <w:pPr>
              <w:jc w:val="center"/>
              <w:rPr>
                <w:b/>
                <w:u w:val="single"/>
              </w:rPr>
            </w:pPr>
          </w:p>
        </w:tc>
      </w:tr>
      <w:tr w:rsidR="003562F2" w:rsidTr="003562F2">
        <w:tc>
          <w:tcPr>
            <w:tcW w:w="2269" w:type="dxa"/>
            <w:vAlign w:val="center"/>
          </w:tcPr>
          <w:p w:rsidR="003562F2" w:rsidRPr="002F45D6" w:rsidRDefault="003562F2" w:rsidP="00AD5D86">
            <w:pPr>
              <w:rPr>
                <w:lang w:val="el-GR"/>
              </w:rPr>
            </w:pPr>
            <w:r>
              <w:rPr>
                <w:lang w:val="el-GR"/>
              </w:rPr>
              <w:t>Άρθρο 3</w:t>
            </w:r>
          </w:p>
        </w:tc>
        <w:tc>
          <w:tcPr>
            <w:tcW w:w="11907" w:type="dxa"/>
          </w:tcPr>
          <w:p w:rsidR="003562F2" w:rsidRDefault="003562F2" w:rsidP="00AD5D86">
            <w:pPr>
              <w:jc w:val="center"/>
              <w:rPr>
                <w:b/>
                <w:u w:val="single"/>
              </w:rPr>
            </w:pPr>
          </w:p>
        </w:tc>
      </w:tr>
      <w:tr w:rsidR="003562F2" w:rsidTr="003562F2">
        <w:tc>
          <w:tcPr>
            <w:tcW w:w="2269" w:type="dxa"/>
            <w:vAlign w:val="center"/>
          </w:tcPr>
          <w:p w:rsidR="003562F2" w:rsidRPr="002F45D6" w:rsidRDefault="003562F2" w:rsidP="00AD5D86">
            <w:pPr>
              <w:rPr>
                <w:lang w:val="el-GR"/>
              </w:rPr>
            </w:pPr>
            <w:r>
              <w:rPr>
                <w:lang w:val="el-GR"/>
              </w:rPr>
              <w:t>Άρθρο 4 ….</w:t>
            </w:r>
          </w:p>
        </w:tc>
        <w:tc>
          <w:tcPr>
            <w:tcW w:w="11907" w:type="dxa"/>
          </w:tcPr>
          <w:p w:rsidR="003562F2" w:rsidRPr="00AD5D86" w:rsidRDefault="003562F2" w:rsidP="00AD5D86">
            <w:pPr>
              <w:jc w:val="center"/>
              <w:rPr>
                <w:b/>
                <w:u w:val="single"/>
                <w:lang w:val="el-GR"/>
              </w:rPr>
            </w:pPr>
          </w:p>
        </w:tc>
      </w:tr>
      <w:tr w:rsidR="003562F2" w:rsidTr="003562F2">
        <w:tc>
          <w:tcPr>
            <w:tcW w:w="2269" w:type="dxa"/>
            <w:vAlign w:val="center"/>
          </w:tcPr>
          <w:p w:rsidR="003562F2" w:rsidRPr="00AD5D86" w:rsidRDefault="003562F2" w:rsidP="00AD5D86">
            <w:pPr>
              <w:rPr>
                <w:b/>
                <w:lang w:val="el-GR"/>
              </w:rPr>
            </w:pPr>
            <w:r w:rsidRPr="00E85A81">
              <w:rPr>
                <w:b/>
                <w:lang w:val="el-GR"/>
              </w:rPr>
              <w:t>Ορισμοί</w:t>
            </w:r>
            <w:r w:rsidRPr="00E85A81">
              <w:rPr>
                <w:rStyle w:val="aa"/>
                <w:b/>
                <w:lang w:val="el-GR"/>
              </w:rPr>
              <w:endnoteReference w:id="13"/>
            </w:r>
          </w:p>
        </w:tc>
        <w:tc>
          <w:tcPr>
            <w:tcW w:w="11907" w:type="dxa"/>
          </w:tcPr>
          <w:p w:rsidR="003562F2" w:rsidRPr="00AD5D86" w:rsidRDefault="003562F2" w:rsidP="00AD5D86">
            <w:pPr>
              <w:jc w:val="center"/>
              <w:rPr>
                <w:b/>
                <w:u w:val="single"/>
                <w:lang w:val="el-GR"/>
              </w:rPr>
            </w:pPr>
          </w:p>
        </w:tc>
      </w:tr>
      <w:tr w:rsidR="003562F2" w:rsidTr="003562F2">
        <w:tc>
          <w:tcPr>
            <w:tcW w:w="2269" w:type="dxa"/>
            <w:vAlign w:val="center"/>
          </w:tcPr>
          <w:p w:rsidR="003562F2" w:rsidRPr="002C6754" w:rsidRDefault="003562F2" w:rsidP="00AD5D86">
            <w:pPr>
              <w:rPr>
                <w:lang w:val="el-GR"/>
              </w:rPr>
            </w:pPr>
            <w:r>
              <w:rPr>
                <w:lang w:val="el-GR"/>
              </w:rPr>
              <w:t xml:space="preserve">Διατάξεις που προβλέπουν έκδοση κατ’ εξουσιοδότηση πράξεων ή εκτελεστικών πράξεων </w:t>
            </w:r>
            <w:r>
              <w:rPr>
                <w:rStyle w:val="aa"/>
                <w:lang w:val="el-GR"/>
              </w:rPr>
              <w:endnoteReference w:id="14"/>
            </w:r>
          </w:p>
        </w:tc>
        <w:tc>
          <w:tcPr>
            <w:tcW w:w="11907" w:type="dxa"/>
          </w:tcPr>
          <w:p w:rsidR="003562F2" w:rsidRPr="002C6754" w:rsidRDefault="003562F2" w:rsidP="00AD5D86">
            <w:pPr>
              <w:jc w:val="center"/>
              <w:rPr>
                <w:b/>
                <w:u w:val="single"/>
                <w:lang w:val="el-GR"/>
              </w:rPr>
            </w:pPr>
          </w:p>
        </w:tc>
      </w:tr>
      <w:tr w:rsidR="003562F2" w:rsidTr="003562F2">
        <w:tc>
          <w:tcPr>
            <w:tcW w:w="2269" w:type="dxa"/>
            <w:vAlign w:val="center"/>
          </w:tcPr>
          <w:p w:rsidR="003562F2" w:rsidRPr="002C6754" w:rsidRDefault="003562F2" w:rsidP="00AD5D86">
            <w:pPr>
              <w:rPr>
                <w:lang w:val="el-GR"/>
              </w:rPr>
            </w:pPr>
            <w:r w:rsidRPr="002C6754">
              <w:rPr>
                <w:lang w:val="el-GR"/>
              </w:rPr>
              <w:lastRenderedPageBreak/>
              <w:t>Διατάξεις που προβλέπουν υποχρεώσεις της Ε. Επιτροπής ή άλλων οργάνων ΕΕ</w:t>
            </w:r>
            <w:r>
              <w:rPr>
                <w:rStyle w:val="aa"/>
                <w:lang w:val="el-GR"/>
              </w:rPr>
              <w:endnoteReference w:id="15"/>
            </w:r>
          </w:p>
        </w:tc>
        <w:tc>
          <w:tcPr>
            <w:tcW w:w="11907" w:type="dxa"/>
          </w:tcPr>
          <w:p w:rsidR="003562F2" w:rsidRPr="002C6754" w:rsidRDefault="003562F2" w:rsidP="00AD5D86">
            <w:pPr>
              <w:jc w:val="center"/>
              <w:rPr>
                <w:b/>
                <w:u w:val="single"/>
                <w:lang w:val="el-GR"/>
              </w:rPr>
            </w:pPr>
          </w:p>
        </w:tc>
      </w:tr>
      <w:tr w:rsidR="003562F2" w:rsidTr="003562F2">
        <w:tc>
          <w:tcPr>
            <w:tcW w:w="2269" w:type="dxa"/>
            <w:vAlign w:val="center"/>
          </w:tcPr>
          <w:p w:rsidR="003562F2" w:rsidRPr="007C0743" w:rsidRDefault="003562F2" w:rsidP="00AD5D86">
            <w:pPr>
              <w:rPr>
                <w:lang w:val="el-GR"/>
              </w:rPr>
            </w:pPr>
            <w:r w:rsidRPr="007C0743">
              <w:rPr>
                <w:lang w:val="el-GR"/>
              </w:rPr>
              <w:t>Έναρξη ισχύος</w:t>
            </w:r>
            <w:r>
              <w:rPr>
                <w:lang w:val="el-GR"/>
              </w:rPr>
              <w:t xml:space="preserve"> </w:t>
            </w:r>
            <w:r>
              <w:rPr>
                <w:rStyle w:val="aa"/>
                <w:lang w:val="el-GR"/>
              </w:rPr>
              <w:endnoteReference w:id="16"/>
            </w:r>
          </w:p>
        </w:tc>
        <w:tc>
          <w:tcPr>
            <w:tcW w:w="11907" w:type="dxa"/>
          </w:tcPr>
          <w:p w:rsidR="003562F2" w:rsidRPr="002C6754" w:rsidRDefault="003562F2" w:rsidP="00AD5D86">
            <w:pPr>
              <w:jc w:val="center"/>
              <w:rPr>
                <w:b/>
                <w:u w:val="single"/>
                <w:lang w:val="el-GR"/>
              </w:rPr>
            </w:pPr>
          </w:p>
        </w:tc>
      </w:tr>
      <w:tr w:rsidR="003562F2" w:rsidTr="003562F2">
        <w:tc>
          <w:tcPr>
            <w:tcW w:w="2269" w:type="dxa"/>
            <w:tcBorders>
              <w:bottom w:val="single" w:sz="4" w:space="0" w:color="auto"/>
            </w:tcBorders>
            <w:vAlign w:val="center"/>
          </w:tcPr>
          <w:p w:rsidR="003562F2" w:rsidRPr="007C0743" w:rsidRDefault="003562F2" w:rsidP="00AD5D86">
            <w:pPr>
              <w:rPr>
                <w:lang w:val="el-GR"/>
              </w:rPr>
            </w:pPr>
            <w:r>
              <w:rPr>
                <w:lang w:val="el-GR"/>
              </w:rPr>
              <w:t xml:space="preserve">Αποδέκτες της Οδηγίας </w:t>
            </w:r>
            <w:r>
              <w:rPr>
                <w:rStyle w:val="aa"/>
                <w:lang w:val="el-GR"/>
              </w:rPr>
              <w:endnoteReference w:id="17"/>
            </w:r>
          </w:p>
        </w:tc>
        <w:tc>
          <w:tcPr>
            <w:tcW w:w="11907" w:type="dxa"/>
            <w:tcBorders>
              <w:bottom w:val="single" w:sz="4" w:space="0" w:color="auto"/>
            </w:tcBorders>
          </w:tcPr>
          <w:p w:rsidR="003562F2" w:rsidRPr="002C6754" w:rsidRDefault="003562F2" w:rsidP="00AD5D86">
            <w:pPr>
              <w:jc w:val="center"/>
              <w:rPr>
                <w:b/>
                <w:u w:val="single"/>
                <w:lang w:val="el-GR"/>
              </w:rPr>
            </w:pPr>
          </w:p>
        </w:tc>
      </w:tr>
      <w:tr w:rsidR="00AD5D86" w:rsidTr="00C43D4A">
        <w:tc>
          <w:tcPr>
            <w:tcW w:w="14176" w:type="dxa"/>
            <w:gridSpan w:val="2"/>
            <w:shd w:val="clear" w:color="auto" w:fill="9CC2E5" w:themeFill="accent1" w:themeFillTint="99"/>
          </w:tcPr>
          <w:p w:rsidR="003562F2" w:rsidRPr="00AA129C" w:rsidRDefault="003562F2" w:rsidP="00AD5D86">
            <w:pPr>
              <w:tabs>
                <w:tab w:val="left" w:pos="1545"/>
              </w:tabs>
              <w:jc w:val="center"/>
              <w:rPr>
                <w:b/>
                <w:lang w:val="el-GR"/>
              </w:rPr>
            </w:pPr>
            <w:r>
              <w:rPr>
                <w:b/>
                <w:lang w:val="el-GR"/>
              </w:rPr>
              <w:t>Έναρξη ισχύος διατάξεων</w:t>
            </w:r>
            <w:r>
              <w:rPr>
                <w:rStyle w:val="a6"/>
                <w:b/>
                <w:lang w:val="el-GR"/>
              </w:rPr>
              <w:footnoteReference w:id="1"/>
            </w:r>
            <w:r>
              <w:rPr>
                <w:rStyle w:val="aa"/>
                <w:b/>
                <w:lang w:val="el-GR"/>
              </w:rPr>
              <w:endnoteReference w:id="18"/>
            </w:r>
          </w:p>
        </w:tc>
      </w:tr>
      <w:tr w:rsidR="00AD5D86" w:rsidTr="00C43D4A">
        <w:tc>
          <w:tcPr>
            <w:tcW w:w="2269" w:type="dxa"/>
          </w:tcPr>
          <w:p w:rsidR="00AD5D86" w:rsidRPr="002C6754" w:rsidRDefault="00AD5D86" w:rsidP="00AD5D86">
            <w:pPr>
              <w:rPr>
                <w:b/>
                <w:lang w:val="el-GR"/>
              </w:rPr>
            </w:pPr>
          </w:p>
        </w:tc>
        <w:tc>
          <w:tcPr>
            <w:tcW w:w="11907" w:type="dxa"/>
          </w:tcPr>
          <w:p w:rsidR="00AD5D86" w:rsidRPr="002C6754" w:rsidRDefault="00AD5D86" w:rsidP="00AD5D86">
            <w:pPr>
              <w:jc w:val="center"/>
              <w:rPr>
                <w:b/>
                <w:u w:val="single"/>
                <w:lang w:val="el-GR"/>
              </w:rPr>
            </w:pPr>
          </w:p>
        </w:tc>
      </w:tr>
      <w:tr w:rsidR="00AD5D86" w:rsidTr="00C43D4A">
        <w:tc>
          <w:tcPr>
            <w:tcW w:w="2269" w:type="dxa"/>
          </w:tcPr>
          <w:p w:rsidR="00AD5D86" w:rsidRPr="002C6754" w:rsidRDefault="00AD5D86" w:rsidP="00AD5D86">
            <w:pPr>
              <w:rPr>
                <w:b/>
                <w:lang w:val="el-GR"/>
              </w:rPr>
            </w:pPr>
          </w:p>
        </w:tc>
        <w:tc>
          <w:tcPr>
            <w:tcW w:w="11907" w:type="dxa"/>
          </w:tcPr>
          <w:p w:rsidR="00AD5D86" w:rsidRPr="002C6754" w:rsidRDefault="00AD5D86" w:rsidP="00AD5D86">
            <w:pPr>
              <w:jc w:val="center"/>
              <w:rPr>
                <w:b/>
                <w:u w:val="single"/>
                <w:lang w:val="el-GR"/>
              </w:rPr>
            </w:pPr>
          </w:p>
        </w:tc>
      </w:tr>
    </w:tbl>
    <w:p w:rsidR="00424E7D" w:rsidRDefault="00424E7D"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Default="003562F2" w:rsidP="002F45D6">
      <w:pPr>
        <w:jc w:val="center"/>
        <w:rPr>
          <w:sz w:val="22"/>
          <w:szCs w:val="22"/>
          <w:lang w:val="en-US"/>
        </w:rPr>
      </w:pPr>
    </w:p>
    <w:p w:rsidR="003562F2" w:rsidRPr="00C43D4A" w:rsidRDefault="003562F2" w:rsidP="002F45D6">
      <w:pPr>
        <w:jc w:val="center"/>
        <w:rPr>
          <w:sz w:val="22"/>
          <w:szCs w:val="22"/>
          <w:lang w:val="en-US"/>
        </w:rPr>
      </w:pPr>
    </w:p>
    <w:sectPr w:rsidR="003562F2" w:rsidRPr="00C43D4A" w:rsidSect="00E85A81">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pgMar w:top="1800" w:right="1440" w:bottom="180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9F" w:rsidRDefault="00F1769F" w:rsidP="00F1769F">
      <w:r>
        <w:separator/>
      </w:r>
    </w:p>
  </w:endnote>
  <w:endnote w:type="continuationSeparator" w:id="0">
    <w:p w:rsidR="00F1769F" w:rsidRDefault="00F1769F" w:rsidP="00F1769F">
      <w:r>
        <w:continuationSeparator/>
      </w:r>
    </w:p>
  </w:endnote>
  <w:endnote w:id="1">
    <w:p w:rsidR="003562F2" w:rsidRPr="00533BF7" w:rsidRDefault="003562F2" w:rsidP="007F29E0">
      <w:pPr>
        <w:pStyle w:val="a9"/>
        <w:jc w:val="both"/>
      </w:pPr>
      <w:r>
        <w:rPr>
          <w:rStyle w:val="aa"/>
        </w:rPr>
        <w:endnoteRef/>
      </w:r>
      <w:r>
        <w:t xml:space="preserve"> </w:t>
      </w:r>
      <w:r w:rsidRPr="00533BF7">
        <w:t xml:space="preserve">Το ΔΕΕ </w:t>
      </w:r>
      <w:r w:rsidRPr="00533BF7">
        <w:rPr>
          <w:color w:val="000000"/>
        </w:rPr>
        <w:t>έχει ερμηνεύσει τη φράση «υποχρέωση ανακοίνωσης μέτρων μεταφοράς στο εθνικό δίκαιο» της παρ. 3 του άρθρου 260 ΣΛΕΕ, υπό την έννοια ότι αφορά την υποχρέωση των κρατών μελών να διαβιβάζουν αρκούντως σαφείς και ακριβείς πληροφορίες όσον αφορά τα μέτρα μεταφοράς μιας οδηγίας. Προκειμένου να ανταποκριθούν στις επιταγές της ασφάλειας δικαίου και να διασφαλίσουν τη μεταφορά του συνόλου των διατάξεων μιας οδηγίας στο σύνολο της οικείας επικράτειας, τα κράτη μέλη υποχρεούνται να αναφέρουν, για κάθε διάταξη της εν λόγω οδηγίας, την ή τις εθνικές διατάξεις που διασφαλίζουν τη μεταφορά της (αποφάσεις της 8ης Ιουλίου 2019, Επιτροπή κατά Βελγίου , C</w:t>
      </w:r>
      <w:r w:rsidRPr="00533BF7">
        <w:rPr>
          <w:color w:val="000000"/>
        </w:rPr>
        <w:noBreakHyphen/>
        <w:t>543/17, EU:C:2019:573, σκέψη 59, της 16ης Ιουλίου 2020, Επιτροπή κατά Ρουμανίας, C</w:t>
      </w:r>
      <w:r w:rsidRPr="00533BF7">
        <w:rPr>
          <w:color w:val="000000"/>
        </w:rPr>
        <w:noBreakHyphen/>
        <w:t>549/18, EU:C:2020:563, σκέψη 46, της 16ης Ιουλίου 2020, Επιτροπή κατά Ιρλανδίας, C</w:t>
      </w:r>
      <w:r w:rsidRPr="00533BF7">
        <w:rPr>
          <w:color w:val="000000"/>
        </w:rPr>
        <w:noBreakHyphen/>
        <w:t>550/18, EU:C:2020:564, σκέψη 56, της 13</w:t>
      </w:r>
      <w:r w:rsidRPr="00533BF7">
        <w:rPr>
          <w:color w:val="000000"/>
          <w:vertAlign w:val="superscript"/>
        </w:rPr>
        <w:t>ης</w:t>
      </w:r>
      <w:r w:rsidRPr="00533BF7">
        <w:rPr>
          <w:color w:val="000000"/>
        </w:rPr>
        <w:t xml:space="preserve"> Ιανουαρίου 2021, Επιτροπή κατά Σλοβενίας, </w:t>
      </w:r>
      <w:r w:rsidRPr="00533BF7">
        <w:rPr>
          <w:color w:val="000000"/>
          <w:lang w:val="en-US"/>
        </w:rPr>
        <w:t>C</w:t>
      </w:r>
      <w:r w:rsidRPr="00533BF7">
        <w:rPr>
          <w:color w:val="000000"/>
        </w:rPr>
        <w:t>-628/18, EU:C:2021:1, σκέψη 45, της 25</w:t>
      </w:r>
      <w:r w:rsidRPr="00533BF7">
        <w:rPr>
          <w:color w:val="000000"/>
          <w:vertAlign w:val="superscript"/>
        </w:rPr>
        <w:t>ης</w:t>
      </w:r>
      <w:r w:rsidRPr="00533BF7">
        <w:rPr>
          <w:color w:val="000000"/>
        </w:rPr>
        <w:t xml:space="preserve"> Φεβρουαρίου 2021, Επιτροπή κατά Ισπανίας, </w:t>
      </w:r>
      <w:r w:rsidRPr="00533BF7">
        <w:rPr>
          <w:color w:val="000000"/>
          <w:lang w:val="en-US"/>
        </w:rPr>
        <w:t>C</w:t>
      </w:r>
      <w:r w:rsidRPr="00533BF7">
        <w:rPr>
          <w:color w:val="000000"/>
        </w:rPr>
        <w:t>-658/19, EU:C:2021:138, σκέψη 30, της 9</w:t>
      </w:r>
      <w:r w:rsidRPr="00533BF7">
        <w:rPr>
          <w:color w:val="000000"/>
          <w:vertAlign w:val="superscript"/>
        </w:rPr>
        <w:t>ης</w:t>
      </w:r>
      <w:r w:rsidRPr="00533BF7">
        <w:rPr>
          <w:color w:val="000000"/>
        </w:rPr>
        <w:t xml:space="preserve"> Νοεμβρίου 2023, Επιτροπή κατά Σουηδίας, </w:t>
      </w:r>
      <w:r w:rsidRPr="00533BF7">
        <w:rPr>
          <w:color w:val="000000"/>
          <w:lang w:val="en-US"/>
        </w:rPr>
        <w:t>C</w:t>
      </w:r>
      <w:r w:rsidRPr="00533BF7">
        <w:rPr>
          <w:color w:val="000000"/>
        </w:rPr>
        <w:t>- 353/22, EU:C:2023:851, σκέψη 50). Υπό το πρίσμα της παραπάνω ερμηνείας, η υποβολή του πίνακα αντιστοιχίας είναι υποχρεωτική, σε διαφορετική περίπτωση είναι δυνατό να επιβληθούν κυρώσεις κατά την παρ. 3 του άρθρου 260 ΣΛΕΕ.</w:t>
      </w:r>
    </w:p>
  </w:endnote>
  <w:endnote w:id="2">
    <w:p w:rsidR="003562F2" w:rsidRPr="00533BF7" w:rsidRDefault="003562F2" w:rsidP="00AA129C">
      <w:pPr>
        <w:pStyle w:val="a9"/>
        <w:jc w:val="both"/>
      </w:pPr>
      <w:r w:rsidRPr="00533BF7">
        <w:rPr>
          <w:rStyle w:val="aa"/>
        </w:rPr>
        <w:endnoteRef/>
      </w:r>
      <w:r w:rsidRPr="00533BF7">
        <w:t xml:space="preserve"> </w:t>
      </w:r>
      <w:r w:rsidRPr="00533BF7">
        <w:t xml:space="preserve">Σε περίπτωση επιμέρους καταληκτικών ημερομηνιών μεταφοράς, αναφέρεται για κάθε μία από αυτές υποβάλλεται διαφορετικός πίνακας. </w:t>
      </w:r>
    </w:p>
  </w:endnote>
  <w:endnote w:id="3">
    <w:p w:rsidR="003562F2" w:rsidRPr="00533BF7" w:rsidRDefault="003562F2" w:rsidP="00AA129C">
      <w:pPr>
        <w:pStyle w:val="a9"/>
        <w:jc w:val="both"/>
      </w:pPr>
      <w:r w:rsidRPr="00533BF7">
        <w:rPr>
          <w:rStyle w:val="aa"/>
        </w:rPr>
        <w:endnoteRef/>
      </w:r>
      <w:r w:rsidRPr="00533BF7">
        <w:t xml:space="preserve"> </w:t>
      </w:r>
      <w:r w:rsidRPr="00533BF7">
        <w:t xml:space="preserve">Αναφέρονται τα τυχόν συναρμόδια υπουργεία, τα οποία έχουν τυχόν επίσπευση για τη μεταφορά αυτούσιων διατάξεων. </w:t>
      </w:r>
    </w:p>
  </w:endnote>
  <w:endnote w:id="4">
    <w:p w:rsidR="003562F2" w:rsidRDefault="003562F2">
      <w:pPr>
        <w:pStyle w:val="a9"/>
      </w:pPr>
      <w:r>
        <w:rPr>
          <w:rStyle w:val="aa"/>
        </w:rPr>
        <w:endnoteRef/>
      </w:r>
      <w:r>
        <w:t xml:space="preserve"> </w:t>
      </w:r>
    </w:p>
  </w:endnote>
  <w:endnote w:id="5">
    <w:p w:rsidR="003562F2" w:rsidRPr="00533BF7" w:rsidRDefault="003562F2" w:rsidP="00AA129C">
      <w:pPr>
        <w:pStyle w:val="a9"/>
        <w:jc w:val="both"/>
      </w:pPr>
      <w:r>
        <w:rPr>
          <w:rStyle w:val="aa"/>
        </w:rPr>
        <w:endnoteRef/>
      </w:r>
      <w:r>
        <w:t xml:space="preserve"> </w:t>
      </w:r>
      <w:r>
        <w:t>Προσδιορίζεται ο βαθμός της ενσωμάτωσης προκειμένου να ενημερωθεί αντίστοιχα η Ευρωπαϊκή Επιτροπή.</w:t>
      </w:r>
    </w:p>
  </w:endnote>
  <w:endnote w:id="6">
    <w:p w:rsidR="003562F2" w:rsidRDefault="003562F2" w:rsidP="002C6754">
      <w:pPr>
        <w:pStyle w:val="a9"/>
        <w:jc w:val="both"/>
      </w:pPr>
      <w:r>
        <w:rPr>
          <w:rStyle w:val="aa"/>
        </w:rPr>
        <w:endnoteRef/>
      </w:r>
      <w:r>
        <w:t xml:space="preserve"> </w:t>
      </w:r>
      <w:r w:rsidRPr="006F7B78">
        <w:t>Σε περίπτωση οδηγίας που τροποποιεί προγενέστερη, θα πρέπει να παρατίθενται και τα άρθρα της τροποποιούμενης οδηγίας</w:t>
      </w:r>
      <w:r>
        <w:t>.</w:t>
      </w:r>
    </w:p>
  </w:endnote>
  <w:endnote w:id="7">
    <w:p w:rsidR="003562F2" w:rsidRDefault="003562F2" w:rsidP="002C6754">
      <w:pPr>
        <w:pStyle w:val="a9"/>
        <w:jc w:val="both"/>
      </w:pPr>
      <w:r>
        <w:rPr>
          <w:rStyle w:val="aa"/>
        </w:rPr>
        <w:endnoteRef/>
      </w:r>
      <w:r>
        <w:t xml:space="preserve"> Σε περίπτωση ενσωμάτωσης οδηγίας κατ’ εξουσιοδότηση διάταξης άλλης πράξης, θα πρέπει να γίνεται αναφορά το άρθρο της πράξης κατ’ εξουσιοδότηση της οποίας εκδόθηκε η </w:t>
      </w:r>
      <w:proofErr w:type="spellStart"/>
      <w:r>
        <w:t>ενσωματούμενη</w:t>
      </w:r>
      <w:proofErr w:type="spellEnd"/>
      <w:r>
        <w:t xml:space="preserve"> οδηγία.</w:t>
      </w:r>
    </w:p>
  </w:endnote>
  <w:endnote w:id="8">
    <w:p w:rsidR="003562F2" w:rsidRDefault="003562F2">
      <w:pPr>
        <w:pStyle w:val="a9"/>
      </w:pPr>
      <w:r w:rsidRPr="002F45D6">
        <w:rPr>
          <w:rStyle w:val="aa"/>
        </w:rPr>
        <w:endnoteRef/>
      </w:r>
      <w:r w:rsidRPr="002F45D6">
        <w:t xml:space="preserve"> Το περιεχόμενό του προοιμίου λαμβάνεται υπόψη κατά τη μεταφορά της οδηγίας, ωστόσο, δεν περιλαμβάνεται στον πίνακα αντιστοιχίας</w:t>
      </w:r>
    </w:p>
  </w:endnote>
  <w:endnote w:id="9">
    <w:p w:rsidR="003562F2" w:rsidRDefault="003562F2" w:rsidP="002C6754">
      <w:pPr>
        <w:pStyle w:val="a9"/>
        <w:jc w:val="both"/>
      </w:pPr>
      <w:r>
        <w:rPr>
          <w:rStyle w:val="aa"/>
        </w:rPr>
        <w:endnoteRef/>
      </w:r>
      <w:r>
        <w:t xml:space="preserve"> </w:t>
      </w:r>
      <w:r w:rsidRPr="006F7B78">
        <w:t>Σε περίπτωση εθνικού μέσου μεταφοράς που τροποποιεί προγενέστερο, θα πρέπει να παρατίθενται και τα άρθρα του τροποποιούμενου μέσου</w:t>
      </w:r>
      <w:r>
        <w:t>.</w:t>
      </w:r>
    </w:p>
  </w:endnote>
  <w:endnote w:id="10">
    <w:p w:rsidR="003562F2" w:rsidRDefault="003562F2" w:rsidP="002C6754">
      <w:pPr>
        <w:pStyle w:val="a9"/>
        <w:jc w:val="both"/>
      </w:pPr>
      <w:r>
        <w:rPr>
          <w:rStyle w:val="aa"/>
        </w:rPr>
        <w:endnoteRef/>
      </w:r>
      <w:r>
        <w:t xml:space="preserve"> H αντιστοιχία πρέπει να είναι πλήρης και να περιλαμβάνει, όπου χρειάζεται, υποδιαίρεση των παραγράφων, των εδαφίων και των περιπτώσεων του εθνικού μέτρου μεταφοράς προς τα άρθρα, τις παραγράφους, τα εδάφια και τις περιπτώσεις της Οδηγίας.</w:t>
      </w:r>
    </w:p>
  </w:endnote>
  <w:endnote w:id="11">
    <w:p w:rsidR="003562F2" w:rsidRPr="00E36326" w:rsidRDefault="003562F2" w:rsidP="0009621E">
      <w:pPr>
        <w:jc w:val="both"/>
        <w:rPr>
          <w:sz w:val="18"/>
          <w:szCs w:val="18"/>
        </w:rPr>
      </w:pPr>
      <w:r>
        <w:rPr>
          <w:rStyle w:val="aa"/>
        </w:rPr>
        <w:endnoteRef/>
      </w:r>
      <w:r>
        <w:t xml:space="preserve"> </w:t>
      </w:r>
      <w:r w:rsidRPr="006F7B78">
        <w:rPr>
          <w:sz w:val="18"/>
          <w:szCs w:val="18"/>
        </w:rPr>
        <w:t>Στη στήλη αυ</w:t>
      </w:r>
      <w:r>
        <w:rPr>
          <w:sz w:val="18"/>
          <w:szCs w:val="18"/>
        </w:rPr>
        <w:t xml:space="preserve">τή είναι δυνατό να περιλαμβάνεται και προϋφιστάμενη σχετική νομοθεσία, καθώς γενικές διατάξεις εφόσον καλύπτεται υποχρέωση ενσωμάτωσης </w:t>
      </w:r>
      <w:r w:rsidRPr="006F7B78">
        <w:rPr>
          <w:sz w:val="18"/>
          <w:szCs w:val="18"/>
        </w:rPr>
        <w:t>όλα τα μέτρα</w:t>
      </w:r>
      <w:r>
        <w:rPr>
          <w:sz w:val="18"/>
          <w:szCs w:val="18"/>
        </w:rPr>
        <w:t xml:space="preserve"> που σχετίζονται με τη μεταφορά. Στην περίπτωση αυτή, όμως, θα πρέπει να ληφθεί υπόψη η ρήτρα διασύνδεσης</w:t>
      </w:r>
      <w:r w:rsidRPr="006F7B78">
        <w:rPr>
          <w:sz w:val="18"/>
          <w:szCs w:val="18"/>
        </w:rPr>
        <w:t>.</w:t>
      </w:r>
      <w:r w:rsidRPr="0009621E">
        <w:t xml:space="preserve"> </w:t>
      </w:r>
      <w:r w:rsidRPr="0009621E">
        <w:rPr>
          <w:sz w:val="18"/>
          <w:szCs w:val="18"/>
        </w:rPr>
        <w:t>Η εν λόγω ρήτρα περιλαμβάνεται στο ακροτελεύτιο άρθρο των οδηγιών και προβλέπει ότι τα προς θέσπιση μέτρα θα πρέπει να περιέχουν παραπομπή στην εκάστοτε οδηγία ή να συνοδεύονται από την παραπομπή αυτή κατά την επίσημη δημοσίευσή τους, αφήνοντας στα κράτη μέλη το περιθώριο καθορισμού των μεθόδων παραπομπής. Προς την ίδια κατεύθυνση, το Δικαστήριο της ΕΕ πάγια δέχεται ότι, σε περίπτωση που περιλαμβάνεται σχετική ρήτρα σε κάποια οδηγία, απαιτείται η θέσπισ</w:t>
      </w:r>
      <w:r>
        <w:rPr>
          <w:sz w:val="18"/>
          <w:szCs w:val="18"/>
        </w:rPr>
        <w:t>η και δημοσίευση ειδικού μέτρου,</w:t>
      </w:r>
      <w:r w:rsidRPr="00E85A81">
        <w:rPr>
          <w:sz w:val="18"/>
          <w:szCs w:val="18"/>
        </w:rPr>
        <w:t xml:space="preserve"> </w:t>
      </w:r>
      <w:r w:rsidRPr="0009621E">
        <w:rPr>
          <w:sz w:val="18"/>
          <w:szCs w:val="18"/>
        </w:rPr>
        <w:t>προς το σκοπό της διασφάλισης της ασφάλειας δικαίου, σε τέτοιο βαθμό κάθε φορά, ώστε οι ενδιαφερόμενοι να μπορούν να συσχετίζουν το εθνικό πλαίσιο με αυτό της ΕΕ και να γνωρίζουν με ακρίβεια την έκταση των δικαιωμάτων και των υποχρεώσεών τους στον τομέα που εκάστοτε ρυθμίζεται</w:t>
      </w:r>
      <w:r>
        <w:rPr>
          <w:sz w:val="18"/>
          <w:szCs w:val="18"/>
        </w:rPr>
        <w:t xml:space="preserve"> (βλ. αποφάσεις ΔΕΕ της 29</w:t>
      </w:r>
      <w:r w:rsidRPr="0009621E">
        <w:rPr>
          <w:sz w:val="18"/>
          <w:szCs w:val="18"/>
          <w:vertAlign w:val="superscript"/>
        </w:rPr>
        <w:t>ης</w:t>
      </w:r>
      <w:r>
        <w:rPr>
          <w:sz w:val="18"/>
          <w:szCs w:val="18"/>
        </w:rPr>
        <w:t xml:space="preserve"> Οκτωβρίου 2009, </w:t>
      </w:r>
      <w:r>
        <w:rPr>
          <w:sz w:val="18"/>
          <w:szCs w:val="18"/>
          <w:lang w:val="en-US"/>
        </w:rPr>
        <w:t>C</w:t>
      </w:r>
      <w:r w:rsidRPr="0009621E">
        <w:rPr>
          <w:sz w:val="18"/>
          <w:szCs w:val="18"/>
        </w:rPr>
        <w:t xml:space="preserve">-551/2008, EU:C:2009:683, </w:t>
      </w:r>
      <w:r>
        <w:rPr>
          <w:sz w:val="18"/>
          <w:szCs w:val="18"/>
        </w:rPr>
        <w:t xml:space="preserve">Επιτροπή κατά Πολωνίας, σκέψη 23, </w:t>
      </w:r>
      <w:r>
        <w:rPr>
          <w:sz w:val="18"/>
          <w:szCs w:val="18"/>
          <w:lang w:val="en-US"/>
        </w:rPr>
        <w:t>C</w:t>
      </w:r>
      <w:r w:rsidRPr="0009621E">
        <w:rPr>
          <w:sz w:val="18"/>
          <w:szCs w:val="18"/>
        </w:rPr>
        <w:t xml:space="preserve">-29/2014, </w:t>
      </w:r>
      <w:r>
        <w:rPr>
          <w:sz w:val="18"/>
          <w:szCs w:val="18"/>
        </w:rPr>
        <w:t>της 11</w:t>
      </w:r>
      <w:r w:rsidRPr="00E36326">
        <w:rPr>
          <w:sz w:val="18"/>
          <w:szCs w:val="18"/>
          <w:vertAlign w:val="superscript"/>
        </w:rPr>
        <w:t>ης</w:t>
      </w:r>
      <w:r>
        <w:rPr>
          <w:sz w:val="18"/>
          <w:szCs w:val="18"/>
        </w:rPr>
        <w:t xml:space="preserve"> Ιουνίου 2015, Επιτροπή κατά Πολωνίας, </w:t>
      </w:r>
      <w:r w:rsidRPr="00E36326">
        <w:rPr>
          <w:sz w:val="18"/>
          <w:szCs w:val="18"/>
        </w:rPr>
        <w:t>EU:C:2015:379</w:t>
      </w:r>
      <w:r>
        <w:rPr>
          <w:sz w:val="18"/>
          <w:szCs w:val="18"/>
        </w:rPr>
        <w:t>, σκέψη 49, της 4</w:t>
      </w:r>
      <w:r w:rsidRPr="00E36326">
        <w:rPr>
          <w:sz w:val="18"/>
          <w:szCs w:val="18"/>
          <w:vertAlign w:val="superscript"/>
        </w:rPr>
        <w:t>ης</w:t>
      </w:r>
      <w:r>
        <w:rPr>
          <w:sz w:val="18"/>
          <w:szCs w:val="18"/>
        </w:rPr>
        <w:t xml:space="preserve"> Οκτωβρίου 2018, Επιτροπή κατά Ισπανίας, </w:t>
      </w:r>
      <w:r w:rsidRPr="00E36326">
        <w:rPr>
          <w:sz w:val="18"/>
          <w:szCs w:val="18"/>
        </w:rPr>
        <w:t>EU:C:2018:813</w:t>
      </w:r>
      <w:r>
        <w:rPr>
          <w:sz w:val="18"/>
          <w:szCs w:val="18"/>
        </w:rPr>
        <w:t>, σκέψη 21, της 16</w:t>
      </w:r>
      <w:r w:rsidRPr="00E36326">
        <w:rPr>
          <w:sz w:val="18"/>
          <w:szCs w:val="18"/>
          <w:vertAlign w:val="superscript"/>
        </w:rPr>
        <w:t>ης</w:t>
      </w:r>
      <w:r>
        <w:rPr>
          <w:sz w:val="18"/>
          <w:szCs w:val="18"/>
        </w:rPr>
        <w:t xml:space="preserve"> Ιουλίου 2020, Επιτροπή κατά Ιρλανδίας, </w:t>
      </w:r>
      <w:r w:rsidRPr="00E36326">
        <w:rPr>
          <w:sz w:val="18"/>
          <w:szCs w:val="18"/>
        </w:rPr>
        <w:t>EU:C:2020:564</w:t>
      </w:r>
      <w:r>
        <w:rPr>
          <w:sz w:val="18"/>
          <w:szCs w:val="18"/>
        </w:rPr>
        <w:t>, σκέψη 31).</w:t>
      </w:r>
    </w:p>
  </w:endnote>
  <w:endnote w:id="12">
    <w:p w:rsidR="003562F2" w:rsidRDefault="003562F2" w:rsidP="002C6754">
      <w:pPr>
        <w:pStyle w:val="a9"/>
        <w:jc w:val="both"/>
      </w:pPr>
      <w:r>
        <w:rPr>
          <w:rStyle w:val="aa"/>
        </w:rPr>
        <w:endnoteRef/>
      </w:r>
      <w:r>
        <w:t xml:space="preserve"> Δεν απαιτείται ενσωμάτωσή τους.</w:t>
      </w:r>
    </w:p>
  </w:endnote>
  <w:endnote w:id="13">
    <w:p w:rsidR="003562F2" w:rsidRPr="002C6754" w:rsidRDefault="003562F2" w:rsidP="002C6754">
      <w:pPr>
        <w:pStyle w:val="a9"/>
        <w:jc w:val="both"/>
      </w:pPr>
      <w:r>
        <w:rPr>
          <w:rStyle w:val="aa"/>
        </w:rPr>
        <w:endnoteRef/>
      </w:r>
      <w:r>
        <w:t xml:space="preserve"> Ανεξάρτητα από το εάν επιλεγεί να γίνει αυτούσια μεταφορά των ορισμών στο εθνικό δίκαιο, στον πίνακα θα πρέπει να αναγράφεται το σύνολο των ορισμών της οδηγίας (βλ. σχετικά αποφάσεις ΔΕΕ της 30</w:t>
      </w:r>
      <w:r w:rsidRPr="00AE7E2A">
        <w:rPr>
          <w:vertAlign w:val="superscript"/>
        </w:rPr>
        <w:t>ης</w:t>
      </w:r>
      <w:r>
        <w:t xml:space="preserve"> Ιουνίου 2016, Επιτροπή κατά Πολωνίας, </w:t>
      </w:r>
      <w:r w:rsidRPr="00AE7E2A">
        <w:t>EU:C:2016:490</w:t>
      </w:r>
      <w:r>
        <w:t>, σκέψεις 74-93, της 27</w:t>
      </w:r>
      <w:r w:rsidRPr="002C6754">
        <w:rPr>
          <w:vertAlign w:val="superscript"/>
        </w:rPr>
        <w:t>ης</w:t>
      </w:r>
      <w:r>
        <w:t xml:space="preserve"> Οκτωβρίου 2011, Επιτροπή κατά Πολωνίας, </w:t>
      </w:r>
      <w:r w:rsidRPr="002C6754">
        <w:t>EU:C:2011:702</w:t>
      </w:r>
      <w:r>
        <w:t>, σκέψη 62</w:t>
      </w:r>
      <w:r w:rsidRPr="002C6754">
        <w:t xml:space="preserve">, </w:t>
      </w:r>
      <w:r>
        <w:t>της 25</w:t>
      </w:r>
      <w:r w:rsidRPr="002C6754">
        <w:rPr>
          <w:vertAlign w:val="superscript"/>
        </w:rPr>
        <w:t>ης</w:t>
      </w:r>
      <w:r>
        <w:t xml:space="preserve"> Ιανουαρίου 2018, Επιτροπή κατά Τσεχίας, </w:t>
      </w:r>
      <w:r w:rsidRPr="002C6754">
        <w:t>EU:C:2018:42</w:t>
      </w:r>
      <w:r>
        <w:t>, σκέψεις 34-36).</w:t>
      </w:r>
    </w:p>
  </w:endnote>
  <w:endnote w:id="14">
    <w:p w:rsidR="003562F2" w:rsidRDefault="003562F2">
      <w:pPr>
        <w:pStyle w:val="a9"/>
      </w:pPr>
      <w:r>
        <w:rPr>
          <w:rStyle w:val="aa"/>
        </w:rPr>
        <w:endnoteRef/>
      </w:r>
      <w:r>
        <w:t xml:space="preserve"> Δεν απαιτείται ενσωμάτωση.</w:t>
      </w:r>
    </w:p>
  </w:endnote>
  <w:endnote w:id="15">
    <w:p w:rsidR="003562F2" w:rsidRDefault="003562F2">
      <w:pPr>
        <w:pStyle w:val="a9"/>
      </w:pPr>
      <w:r>
        <w:rPr>
          <w:rStyle w:val="aa"/>
        </w:rPr>
        <w:endnoteRef/>
      </w:r>
      <w:r>
        <w:t xml:space="preserve"> Δεν απαιτείται ενσωμάτωση, αλλά σχετική μνεία θα πρέπει να γίνεται στη στήλη του εθνικού μέτρου μεταφοράς. </w:t>
      </w:r>
    </w:p>
  </w:endnote>
  <w:endnote w:id="16">
    <w:p w:rsidR="003562F2" w:rsidRDefault="003562F2">
      <w:pPr>
        <w:pStyle w:val="a9"/>
      </w:pPr>
      <w:r>
        <w:rPr>
          <w:rStyle w:val="aa"/>
        </w:rPr>
        <w:endnoteRef/>
      </w:r>
      <w:r>
        <w:t xml:space="preserve"> Έχει άμεση εφαρμογή και δεν απαιτείται ενσωμάτωση, αλλά σχετική μνεία θα πρέπει να γίνεται στη στήλη του εθνικού μέτρου μεταφοράς. </w:t>
      </w:r>
    </w:p>
  </w:endnote>
  <w:endnote w:id="17">
    <w:p w:rsidR="003562F2" w:rsidRDefault="003562F2">
      <w:pPr>
        <w:pStyle w:val="a9"/>
      </w:pPr>
      <w:r>
        <w:rPr>
          <w:rStyle w:val="aa"/>
        </w:rPr>
        <w:endnoteRef/>
      </w:r>
      <w:r>
        <w:t xml:space="preserve"> Δεν απαιτείται ενσωμάτωση.</w:t>
      </w:r>
    </w:p>
  </w:endnote>
  <w:endnote w:id="18">
    <w:p w:rsidR="003562F2" w:rsidRDefault="003562F2">
      <w:pPr>
        <w:pStyle w:val="a9"/>
      </w:pPr>
      <w:r>
        <w:rPr>
          <w:rStyle w:val="aa"/>
        </w:rPr>
        <w:endnoteRef/>
      </w:r>
      <w:r>
        <w:t xml:space="preserve"> Στην περίπτωση που υπάρχει ειδική πρόβλεψη για επιμέρους διατάξεις, αυτή θα πρέπει να αναγράφεται.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9A" w:rsidRDefault="002F07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619595"/>
      <w:docPartObj>
        <w:docPartGallery w:val="Page Numbers (Bottom of Page)"/>
        <w:docPartUnique/>
      </w:docPartObj>
    </w:sdtPr>
    <w:sdtEndPr/>
    <w:sdtContent>
      <w:p w:rsidR="00E85A81" w:rsidRDefault="003562F2">
        <w:pPr>
          <w:pStyle w:val="a8"/>
        </w:pPr>
      </w:p>
    </w:sdtContent>
  </w:sdt>
  <w:p w:rsidR="00E85A81" w:rsidRDefault="00E85A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9A" w:rsidRDefault="002F07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9F" w:rsidRDefault="00F1769F" w:rsidP="00F1769F">
      <w:r>
        <w:separator/>
      </w:r>
    </w:p>
  </w:footnote>
  <w:footnote w:type="continuationSeparator" w:id="0">
    <w:p w:rsidR="00F1769F" w:rsidRDefault="00F1769F" w:rsidP="00F1769F">
      <w:r>
        <w:continuationSeparator/>
      </w:r>
    </w:p>
  </w:footnote>
  <w:footnote w:id="1">
    <w:p w:rsidR="003562F2" w:rsidRDefault="003562F2">
      <w:pPr>
        <w:pStyle w:val="a5"/>
      </w:pPr>
      <w:r>
        <w:rPr>
          <w:rStyle w:val="a6"/>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9A" w:rsidRDefault="002F07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500190"/>
      <w:docPartObj>
        <w:docPartGallery w:val="Page Numbers (Margins)"/>
        <w:docPartUnique/>
      </w:docPartObj>
    </w:sdtPr>
    <w:sdtEndPr/>
    <w:sdtContent>
      <w:p w:rsidR="00E85A81" w:rsidRDefault="00E85A81" w:rsidP="002F079A">
        <w:pPr>
          <w:pStyle w:val="a7"/>
          <w:tabs>
            <w:tab w:val="left" w:pos="5387"/>
          </w:tabs>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A81" w:rsidRDefault="00E85A81">
                              <w:pPr>
                                <w:pBdr>
                                  <w:bottom w:val="single" w:sz="4" w:space="1" w:color="auto"/>
                                </w:pBdr>
                              </w:pPr>
                              <w:r>
                                <w:fldChar w:fldCharType="begin"/>
                              </w:r>
                              <w:r>
                                <w:instrText>PAGE   \* MERGEFORMAT</w:instrText>
                              </w:r>
                              <w:r>
                                <w:fldChar w:fldCharType="separate"/>
                              </w:r>
                              <w:r w:rsidR="003562F2">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Ορθογώνιο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K+JeJSbAgAADgUAAA4AAAAAAAAAAAAAAAAALgIAAGRycy9lMm9E&#10;b2MueG1sUEsBAi0AFAAGAAgAAAAhAHGmhoPcAAAABAEAAA8AAAAAAAAAAAAAAAAA9QQAAGRycy9k&#10;b3ducmV2LnhtbFBLBQYAAAAABAAEAPMAAAD+BQAAAAA=&#10;" o:allowincell="f" stroked="f">
                  <v:textbox>
                    <w:txbxContent>
                      <w:p w:rsidR="00E85A81" w:rsidRDefault="00E85A81">
                        <w:pPr>
                          <w:pBdr>
                            <w:bottom w:val="single" w:sz="4" w:space="1" w:color="auto"/>
                          </w:pBdr>
                        </w:pPr>
                        <w:r>
                          <w:fldChar w:fldCharType="begin"/>
                        </w:r>
                        <w:r>
                          <w:instrText>PAGE   \* MERGEFORMAT</w:instrText>
                        </w:r>
                        <w:r>
                          <w:fldChar w:fldCharType="separate"/>
                        </w:r>
                        <w:r w:rsidR="003562F2">
                          <w:rPr>
                            <w:noProof/>
                          </w:rPr>
                          <w:t>1</w:t>
                        </w:r>
                        <w:r>
                          <w:fldChar w:fldCharType="end"/>
                        </w:r>
                      </w:p>
                    </w:txbxContent>
                  </v:textbox>
                  <w10:wrap anchorx="margin" anchory="margin"/>
                </v:rect>
              </w:pict>
            </mc:Fallback>
          </mc:AlternateContent>
        </w:r>
      </w:p>
    </w:sdtContent>
  </w:sdt>
  <w:p w:rsidR="00E85A81" w:rsidRPr="002F079A" w:rsidRDefault="00E85A81">
    <w:pPr>
      <w:pStyle w:val="a7"/>
      <w:rPr>
        <w:sz w:val="20"/>
        <w:szCs w:val="20"/>
      </w:rPr>
    </w:pPr>
    <w:bookmarkStart w:id="0" w:name="_GoBack"/>
    <w:r w:rsidRPr="002F079A">
      <w:rPr>
        <w:rFonts w:eastAsia="Calibri" w:cstheme="minorHAnsi"/>
        <w:noProof/>
        <w:sz w:val="20"/>
        <w:szCs w:val="20"/>
      </w:rPr>
      <w:drawing>
        <wp:inline distT="0" distB="0" distL="0" distR="0" wp14:anchorId="106676CD" wp14:editId="45E85689">
          <wp:extent cx="952503" cy="942975"/>
          <wp:effectExtent l="0" t="0" r="0" b="9525"/>
          <wp:docPr id="2"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2503" cy="942975"/>
                  </a:xfrm>
                  <a:prstGeom prst="rect">
                    <a:avLst/>
                  </a:prstGeom>
                  <a:noFill/>
                  <a:ln>
                    <a:noFill/>
                    <a:prstDash/>
                  </a:ln>
                </pic:spPr>
              </pic:pic>
            </a:graphicData>
          </a:graphic>
        </wp:inline>
      </w:drawing>
    </w:r>
  </w:p>
  <w:bookmarkEnd w:id="0"/>
  <w:p w:rsidR="00E85A81" w:rsidRPr="002F079A" w:rsidRDefault="00E85A81" w:rsidP="00E85A81">
    <w:pPr>
      <w:pStyle w:val="a7"/>
      <w:rPr>
        <w:b/>
        <w:sz w:val="20"/>
        <w:szCs w:val="20"/>
      </w:rPr>
    </w:pPr>
    <w:r w:rsidRPr="002F079A">
      <w:rPr>
        <w:b/>
        <w:sz w:val="20"/>
        <w:szCs w:val="20"/>
      </w:rPr>
      <w:t>ΓΕΝΙΚΗ ΓΡΑΜΜΑΤΕΙΑ</w:t>
    </w:r>
  </w:p>
  <w:p w:rsidR="00E85A81" w:rsidRPr="002F079A" w:rsidRDefault="00E85A81" w:rsidP="00E85A81">
    <w:pPr>
      <w:pStyle w:val="a7"/>
      <w:rPr>
        <w:b/>
        <w:sz w:val="20"/>
        <w:szCs w:val="20"/>
      </w:rPr>
    </w:pPr>
    <w:r w:rsidRPr="002F079A">
      <w:rPr>
        <w:b/>
        <w:sz w:val="20"/>
        <w:szCs w:val="20"/>
      </w:rPr>
      <w:t>ΝΟΜΙΚΩΝ ΚΑΙ</w:t>
    </w:r>
  </w:p>
  <w:p w:rsidR="00E85A81" w:rsidRPr="002F079A" w:rsidRDefault="00E85A81" w:rsidP="00E85A81">
    <w:pPr>
      <w:pStyle w:val="a7"/>
      <w:rPr>
        <w:b/>
        <w:sz w:val="20"/>
        <w:szCs w:val="20"/>
      </w:rPr>
    </w:pPr>
    <w:r w:rsidRPr="002F079A">
      <w:rPr>
        <w:b/>
        <w:sz w:val="20"/>
        <w:szCs w:val="20"/>
      </w:rPr>
      <w:t>ΚΟΙΝΟΒΟΥΛΕΥΤΙΚΩΝ ΘΕΜΑΤΩΝ</w:t>
    </w:r>
  </w:p>
  <w:p w:rsidR="00E85A81" w:rsidRDefault="00E85A8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9A" w:rsidRDefault="002F07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2584"/>
    <w:multiLevelType w:val="hybridMultilevel"/>
    <w:tmpl w:val="5882DB88"/>
    <w:lvl w:ilvl="0" w:tplc="0408000F">
      <w:start w:val="1"/>
      <w:numFmt w:val="decimal"/>
      <w:lvlText w:val="%1."/>
      <w:lvlJc w:val="left"/>
      <w:pPr>
        <w:ind w:left="1778"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7D"/>
    <w:rsid w:val="00021604"/>
    <w:rsid w:val="0009621E"/>
    <w:rsid w:val="002B3F97"/>
    <w:rsid w:val="002C6754"/>
    <w:rsid w:val="002F079A"/>
    <w:rsid w:val="002F45D6"/>
    <w:rsid w:val="003562F2"/>
    <w:rsid w:val="003C125A"/>
    <w:rsid w:val="003D0182"/>
    <w:rsid w:val="00424E7D"/>
    <w:rsid w:val="00533BF7"/>
    <w:rsid w:val="006B7D6A"/>
    <w:rsid w:val="006F7B78"/>
    <w:rsid w:val="007A2AA2"/>
    <w:rsid w:val="007C0743"/>
    <w:rsid w:val="007E67D5"/>
    <w:rsid w:val="007F29E0"/>
    <w:rsid w:val="008B1FA5"/>
    <w:rsid w:val="00922945"/>
    <w:rsid w:val="009B463F"/>
    <w:rsid w:val="009D2ADC"/>
    <w:rsid w:val="00A5222F"/>
    <w:rsid w:val="00AA129C"/>
    <w:rsid w:val="00AD5D86"/>
    <w:rsid w:val="00AE7E2A"/>
    <w:rsid w:val="00C25146"/>
    <w:rsid w:val="00C3707D"/>
    <w:rsid w:val="00C43D4A"/>
    <w:rsid w:val="00C6454B"/>
    <w:rsid w:val="00E16235"/>
    <w:rsid w:val="00E31538"/>
    <w:rsid w:val="00E36326"/>
    <w:rsid w:val="00E429DA"/>
    <w:rsid w:val="00E633A7"/>
    <w:rsid w:val="00E85A81"/>
    <w:rsid w:val="00F1769F"/>
    <w:rsid w:val="00F92BCD"/>
    <w:rsid w:val="00FE0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BEE62C"/>
  <w15:chartTrackingRefBased/>
  <w15:docId w15:val="{7895B46B-1A53-4148-A5A0-EAE009F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E7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B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C6454B"/>
    <w:rPr>
      <w:rFonts w:ascii="Segoe UI" w:hAnsi="Segoe UI" w:cs="Segoe UI"/>
      <w:sz w:val="18"/>
      <w:szCs w:val="18"/>
    </w:rPr>
  </w:style>
  <w:style w:type="character" w:customStyle="1" w:styleId="Char">
    <w:name w:val="Κείμενο πλαισίου Char"/>
    <w:basedOn w:val="a0"/>
    <w:link w:val="a4"/>
    <w:uiPriority w:val="99"/>
    <w:semiHidden/>
    <w:rsid w:val="00C6454B"/>
    <w:rPr>
      <w:rFonts w:ascii="Segoe UI" w:eastAsia="Times New Roman" w:hAnsi="Segoe UI" w:cs="Segoe UI"/>
      <w:sz w:val="18"/>
      <w:szCs w:val="18"/>
      <w:lang w:eastAsia="el-GR"/>
    </w:rPr>
  </w:style>
  <w:style w:type="paragraph" w:styleId="a5">
    <w:name w:val="footnote text"/>
    <w:basedOn w:val="a"/>
    <w:link w:val="Char0"/>
    <w:uiPriority w:val="99"/>
    <w:semiHidden/>
    <w:unhideWhenUsed/>
    <w:rsid w:val="00F1769F"/>
    <w:rPr>
      <w:sz w:val="20"/>
      <w:szCs w:val="20"/>
    </w:rPr>
  </w:style>
  <w:style w:type="character" w:customStyle="1" w:styleId="Char0">
    <w:name w:val="Κείμενο υποσημείωσης Char"/>
    <w:basedOn w:val="a0"/>
    <w:link w:val="a5"/>
    <w:uiPriority w:val="99"/>
    <w:semiHidden/>
    <w:rsid w:val="00F1769F"/>
    <w:rPr>
      <w:rFonts w:ascii="Times New Roman" w:eastAsia="Times New Roman" w:hAnsi="Times New Roman" w:cs="Times New Roman"/>
      <w:sz w:val="20"/>
      <w:szCs w:val="20"/>
      <w:lang w:eastAsia="el-GR"/>
    </w:rPr>
  </w:style>
  <w:style w:type="character" w:styleId="a6">
    <w:name w:val="footnote reference"/>
    <w:basedOn w:val="a0"/>
    <w:uiPriority w:val="99"/>
    <w:semiHidden/>
    <w:unhideWhenUsed/>
    <w:rsid w:val="00F1769F"/>
    <w:rPr>
      <w:vertAlign w:val="superscript"/>
    </w:rPr>
  </w:style>
  <w:style w:type="paragraph" w:styleId="a7">
    <w:name w:val="header"/>
    <w:basedOn w:val="a"/>
    <w:link w:val="Char1"/>
    <w:uiPriority w:val="99"/>
    <w:unhideWhenUsed/>
    <w:rsid w:val="00E85A81"/>
    <w:pPr>
      <w:tabs>
        <w:tab w:val="center" w:pos="4153"/>
        <w:tab w:val="right" w:pos="8306"/>
      </w:tabs>
    </w:pPr>
  </w:style>
  <w:style w:type="character" w:customStyle="1" w:styleId="Char1">
    <w:name w:val="Κεφαλίδα Char"/>
    <w:basedOn w:val="a0"/>
    <w:link w:val="a7"/>
    <w:uiPriority w:val="99"/>
    <w:rsid w:val="00E85A81"/>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E85A81"/>
    <w:pPr>
      <w:tabs>
        <w:tab w:val="center" w:pos="4153"/>
        <w:tab w:val="right" w:pos="8306"/>
      </w:tabs>
    </w:pPr>
  </w:style>
  <w:style w:type="character" w:customStyle="1" w:styleId="Char2">
    <w:name w:val="Υποσέλιδο Char"/>
    <w:basedOn w:val="a0"/>
    <w:link w:val="a8"/>
    <w:uiPriority w:val="99"/>
    <w:rsid w:val="00E85A81"/>
    <w:rPr>
      <w:rFonts w:ascii="Times New Roman" w:eastAsia="Times New Roman" w:hAnsi="Times New Roman" w:cs="Times New Roman"/>
      <w:sz w:val="24"/>
      <w:szCs w:val="24"/>
      <w:lang w:eastAsia="el-GR"/>
    </w:rPr>
  </w:style>
  <w:style w:type="paragraph" w:styleId="a9">
    <w:name w:val="endnote text"/>
    <w:basedOn w:val="a"/>
    <w:link w:val="Char3"/>
    <w:uiPriority w:val="99"/>
    <w:semiHidden/>
    <w:unhideWhenUsed/>
    <w:rsid w:val="003562F2"/>
    <w:rPr>
      <w:sz w:val="20"/>
      <w:szCs w:val="20"/>
    </w:rPr>
  </w:style>
  <w:style w:type="character" w:customStyle="1" w:styleId="Char3">
    <w:name w:val="Κείμενο σημείωσης τέλους Char"/>
    <w:basedOn w:val="a0"/>
    <w:link w:val="a9"/>
    <w:uiPriority w:val="99"/>
    <w:semiHidden/>
    <w:rsid w:val="003562F2"/>
    <w:rPr>
      <w:rFonts w:ascii="Times New Roman" w:eastAsia="Times New Roman" w:hAnsi="Times New Roman" w:cs="Times New Roman"/>
      <w:sz w:val="20"/>
      <w:szCs w:val="20"/>
      <w:lang w:eastAsia="el-GR"/>
    </w:rPr>
  </w:style>
  <w:style w:type="character" w:styleId="aa">
    <w:name w:val="endnote reference"/>
    <w:basedOn w:val="a0"/>
    <w:uiPriority w:val="99"/>
    <w:semiHidden/>
    <w:unhideWhenUsed/>
    <w:rsid w:val="00356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4901">
      <w:bodyDiv w:val="1"/>
      <w:marLeft w:val="0"/>
      <w:marRight w:val="0"/>
      <w:marTop w:val="0"/>
      <w:marBottom w:val="0"/>
      <w:divBdr>
        <w:top w:val="none" w:sz="0" w:space="0" w:color="auto"/>
        <w:left w:val="none" w:sz="0" w:space="0" w:color="auto"/>
        <w:bottom w:val="none" w:sz="0" w:space="0" w:color="auto"/>
        <w:right w:val="none" w:sz="0" w:space="0" w:color="auto"/>
      </w:divBdr>
    </w:div>
    <w:div w:id="479467168">
      <w:bodyDiv w:val="1"/>
      <w:marLeft w:val="0"/>
      <w:marRight w:val="0"/>
      <w:marTop w:val="0"/>
      <w:marBottom w:val="0"/>
      <w:divBdr>
        <w:top w:val="none" w:sz="0" w:space="0" w:color="auto"/>
        <w:left w:val="none" w:sz="0" w:space="0" w:color="auto"/>
        <w:bottom w:val="none" w:sz="0" w:space="0" w:color="auto"/>
        <w:right w:val="none" w:sz="0" w:space="0" w:color="auto"/>
      </w:divBdr>
    </w:div>
    <w:div w:id="12356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1243-C9FE-476D-8BF6-F9A394DB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65</Words>
  <Characters>615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Μπερτσιά Χαρίκλεια</dc:creator>
  <cp:keywords/>
  <dc:description/>
  <cp:lastModifiedBy>Κωστούλα Μαριάννα</cp:lastModifiedBy>
  <cp:revision>5</cp:revision>
  <cp:lastPrinted>2024-03-26T12:23:00Z</cp:lastPrinted>
  <dcterms:created xsi:type="dcterms:W3CDTF">2024-04-12T12:22:00Z</dcterms:created>
  <dcterms:modified xsi:type="dcterms:W3CDTF">2024-07-12T07:54:00Z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0962772d1564ab36863410ba3fe7e46a53fab0798d8c4aaea8e264b0b405aa3f</vt:lpwstr>
  </property>
</Properties>
</file>